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napToGrid/>
        <w:spacing w:line="594" w:lineRule="exact"/>
        <w:jc w:val="center"/>
        <w:textAlignment w:val="auto"/>
        <w:rPr>
          <w:rFonts w:hint="default" w:ascii="Times New Roman" w:hAnsi="Times New Roman" w:eastAsia="黑体" w:cs="Times New Roman"/>
          <w:bCs/>
          <w:color w:val="000000"/>
          <w:kern w:val="2"/>
          <w:sz w:val="52"/>
          <w:szCs w:val="52"/>
        </w:rPr>
      </w:pPr>
      <w:bookmarkStart w:id="2" w:name="_GoBack"/>
      <w:bookmarkEnd w:id="2"/>
      <w:r>
        <w:rPr>
          <w:rFonts w:hint="default" w:ascii="Times New Roman" w:hAnsi="Times New Roman" w:eastAsia="黑体" w:cs="Times New Roman"/>
          <w:bCs/>
          <w:color w:val="000000"/>
          <w:spacing w:val="30"/>
          <w:kern w:val="0"/>
          <w:sz w:val="52"/>
          <w:szCs w:val="52"/>
          <w:fitText w:val="5742" w:id="-83937827"/>
        </w:rPr>
        <w:t>国家市场监督管理总</w:t>
      </w:r>
      <w:r>
        <w:rPr>
          <w:rFonts w:hint="default" w:ascii="Times New Roman" w:hAnsi="Times New Roman" w:eastAsia="黑体" w:cs="Times New Roman"/>
          <w:bCs/>
          <w:color w:val="000000"/>
          <w:spacing w:val="1"/>
          <w:kern w:val="0"/>
          <w:sz w:val="52"/>
          <w:szCs w:val="52"/>
          <w:fitText w:val="5742" w:id="-83937827"/>
        </w:rPr>
        <w:t>局</w:t>
      </w:r>
    </w:p>
    <w:p>
      <w:pPr>
        <w:keepNext w:val="0"/>
        <w:keepLines w:val="0"/>
        <w:pageBreakBefore w:val="0"/>
        <w:widowControl w:val="0"/>
        <w:kinsoku/>
        <w:wordWrap/>
        <w:topLinePunct w:val="0"/>
        <w:bidi w:val="0"/>
        <w:snapToGrid/>
        <w:spacing w:line="594"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1915956743"/>
        </w:rPr>
        <w:t>行政处罚决定</w:t>
      </w:r>
      <w:r>
        <w:rPr>
          <w:rFonts w:hint="default" w:ascii="Times New Roman" w:hAnsi="Times New Roman" w:eastAsia="黑体" w:cs="Times New Roman"/>
          <w:bCs/>
          <w:color w:val="000000"/>
          <w:spacing w:val="1"/>
          <w:kern w:val="0"/>
          <w:sz w:val="52"/>
          <w:szCs w:val="52"/>
          <w:fitText w:val="5742" w:id="-1915956743"/>
        </w:rPr>
        <w:t>书</w:t>
      </w:r>
    </w:p>
    <w:p>
      <w:pPr>
        <w:keepNext w:val="0"/>
        <w:keepLines w:val="0"/>
        <w:pageBreakBefore w:val="0"/>
        <w:widowControl w:val="0"/>
        <w:kinsoku/>
        <w:wordWrap/>
        <w:topLinePunct w:val="0"/>
        <w:bidi w:val="0"/>
        <w:snapToGrid/>
        <w:spacing w:line="594"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w:t>
      </w:r>
      <w:r>
        <w:rPr>
          <w:rFonts w:hint="eastAsia" w:ascii="Times New Roman" w:hAnsi="Times New Roman" w:eastAsia="仿宋_GB2312" w:cs="Times New Roman"/>
          <w:kern w:val="2"/>
          <w:sz w:val="32"/>
          <w:szCs w:val="32"/>
          <w:lang w:eastAsia="zh-CN"/>
        </w:rPr>
        <w:t>罚</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val="en-US" w:eastAsia="zh-CN"/>
        </w:rPr>
        <w:t>104</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napToGrid/>
        <w:spacing w:line="594" w:lineRule="exact"/>
        <w:jc w:val="center"/>
        <w:textAlignment w:val="auto"/>
        <w:rPr>
          <w:rFonts w:hint="default" w:ascii="Times New Roman" w:hAnsi="Times New Roman" w:eastAsia="仿宋_GB2312" w:cs="Times New Roman"/>
          <w:kern w:val="2"/>
          <w:sz w:val="28"/>
          <w:szCs w:val="28"/>
        </w:rPr>
      </w:pPr>
    </w:p>
    <w:p>
      <w:pPr>
        <w:pStyle w:val="4"/>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黑体" w:cs="Times New Roman"/>
          <w:kern w:val="2"/>
          <w:sz w:val="32"/>
          <w:szCs w:val="32"/>
        </w:rPr>
        <w:t>当事人：</w:t>
      </w:r>
      <w:r>
        <w:rPr>
          <w:rFonts w:hint="default" w:ascii="Times New Roman" w:hAnsi="Times New Roman" w:eastAsia="仿宋_GB2312" w:cs="Times New Roman"/>
          <w:sz w:val="32"/>
          <w:szCs w:val="32"/>
        </w:rPr>
        <w:t>阿里健康科技（中国）有限公司</w:t>
      </w:r>
    </w:p>
    <w:p>
      <w:pPr>
        <w:pStyle w:val="4"/>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kern w:val="2"/>
          <w:sz w:val="32"/>
          <w:szCs w:val="32"/>
        </w:rPr>
        <w:t>住  所：</w:t>
      </w:r>
      <w:r>
        <w:rPr>
          <w:rFonts w:hint="default" w:ascii="Times New Roman" w:hAnsi="Times New Roman" w:eastAsia="仿宋_GB2312" w:cs="Times New Roman"/>
          <w:sz w:val="32"/>
          <w:szCs w:val="32"/>
        </w:rPr>
        <w:t>北京朝阳区望京东园四区7号楼15层1506室</w:t>
      </w:r>
    </w:p>
    <w:p>
      <w:pPr>
        <w:keepNext w:val="0"/>
        <w:keepLines w:val="0"/>
        <w:pageBreakBefore w:val="0"/>
        <w:widowControl w:val="0"/>
        <w:kinsoku/>
        <w:wordWrap/>
        <w:overflowPunct/>
        <w:topLinePunct w:val="0"/>
        <w:autoSpaceDE/>
        <w:autoSpaceDN/>
        <w:bidi w:val="0"/>
        <w:adjustRightInd w:val="0"/>
        <w:snapToGrid/>
        <w:spacing w:line="594" w:lineRule="exact"/>
        <w:jc w:val="left"/>
        <w:textAlignment w:val="auto"/>
        <w:rPr>
          <w:rFonts w:hint="default" w:ascii="Times New Roman" w:hAnsi="Times New Roman" w:cs="Times New Roman"/>
          <w:sz w:val="32"/>
          <w:szCs w:val="32"/>
          <w:u w:val="single"/>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反垄断法》</w:t>
      </w:r>
      <w:r>
        <w:rPr>
          <w:rFonts w:hint="default" w:ascii="Times New Roman" w:hAnsi="Times New Roman" w:eastAsia="仿宋_GB2312" w:cs="Times New Roman"/>
          <w:kern w:val="2"/>
          <w:sz w:val="32"/>
          <w:szCs w:val="32"/>
          <w:lang w:eastAsia="zh-CN"/>
        </w:rPr>
        <w:t>（以下简称《反垄断法》）《经营者集中审查暂行规定》</w:t>
      </w:r>
      <w:r>
        <w:rPr>
          <w:rFonts w:hint="default" w:ascii="Times New Roman" w:hAnsi="Times New Roman" w:eastAsia="仿宋_GB2312" w:cs="Times New Roman"/>
          <w:sz w:val="32"/>
          <w:szCs w:val="32"/>
        </w:rPr>
        <w:t>，本机关</w:t>
      </w:r>
      <w:r>
        <w:rPr>
          <w:rFonts w:hint="default"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rPr>
        <w:t>2021年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月12日对阿里健康科技（中国）有限公司</w:t>
      </w:r>
      <w:r>
        <w:rPr>
          <w:rFonts w:hint="default" w:ascii="Times New Roman" w:hAnsi="Times New Roman" w:eastAsia="仿宋_GB2312" w:cs="Times New Roman"/>
          <w:sz w:val="32"/>
          <w:szCs w:val="32"/>
          <w:lang w:eastAsia="zh-CN"/>
        </w:rPr>
        <w:t>（以下简称阿里健康）</w:t>
      </w:r>
      <w:r>
        <w:rPr>
          <w:rFonts w:hint="default" w:ascii="Times New Roman" w:hAnsi="Times New Roman" w:eastAsia="仿宋_GB2312" w:cs="Times New Roman"/>
          <w:sz w:val="32"/>
          <w:szCs w:val="32"/>
        </w:rPr>
        <w:t>收购贵州一树连锁药业有限公司</w:t>
      </w:r>
      <w:r>
        <w:rPr>
          <w:rFonts w:hint="default" w:ascii="Times New Roman" w:hAnsi="Times New Roman" w:eastAsia="仿宋_GB2312" w:cs="Times New Roman"/>
          <w:sz w:val="32"/>
          <w:szCs w:val="32"/>
          <w:lang w:eastAsia="zh-CN"/>
        </w:rPr>
        <w:t>（以下简称贵州一树）</w:t>
      </w:r>
      <w:r>
        <w:rPr>
          <w:rFonts w:hint="default" w:ascii="Times New Roman" w:hAnsi="Times New Roman" w:eastAsia="仿宋_GB2312" w:cs="Times New Roman"/>
          <w:sz w:val="32"/>
          <w:szCs w:val="32"/>
        </w:rPr>
        <w:t>股权涉嫌</w:t>
      </w:r>
      <w:r>
        <w:rPr>
          <w:rFonts w:hint="default" w:ascii="Times New Roman" w:hAnsi="Times New Roman" w:eastAsia="仿宋_GB2312" w:cs="Times New Roman"/>
          <w:sz w:val="32"/>
          <w:szCs w:val="32"/>
          <w:lang w:eastAsia="zh-CN"/>
        </w:rPr>
        <w:t>未依法申报违法实施</w:t>
      </w:r>
      <w:r>
        <w:rPr>
          <w:rFonts w:hint="default" w:ascii="Times New Roman" w:hAnsi="Times New Roman" w:eastAsia="仿宋_GB2312" w:cs="Times New Roman"/>
          <w:sz w:val="32"/>
          <w:szCs w:val="32"/>
        </w:rPr>
        <w:t>经营者集中案进行立案调查。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经查，该案构成未依法申报违法实施的经营者集中，但不具有排除、限制竞争的效果。本机关按照《中华人民共和国行政处罚法》（以下简称《行政处罚法》）的规定，向</w:t>
      </w:r>
      <w:r>
        <w:rPr>
          <w:rFonts w:hint="eastAsia" w:ascii="Times New Roman" w:hAnsi="Times New Roman" w:eastAsia="仿宋_GB2312" w:cs="Times New Roman"/>
          <w:sz w:val="32"/>
          <w:szCs w:val="32"/>
          <w:lang w:eastAsia="zh-CN"/>
        </w:rPr>
        <w:t>阿里健康</w:t>
      </w:r>
      <w:r>
        <w:rPr>
          <w:rFonts w:hint="default" w:ascii="Times New Roman" w:hAnsi="Times New Roman" w:eastAsia="仿宋_GB2312" w:cs="Times New Roman"/>
          <w:sz w:val="32"/>
          <w:szCs w:val="32"/>
        </w:rPr>
        <w:t>送达了《行政处罚告知书》，告知当事人拟作出的行政处罚内容及事实、理由、依据，并告知当事人依法享有的陈述、申辩、要求听证的权利。</w:t>
      </w:r>
      <w:r>
        <w:rPr>
          <w:rFonts w:hint="eastAsia" w:ascii="Times New Roman" w:hAnsi="Times New Roman" w:eastAsia="仿宋_GB2312" w:cs="Times New Roman"/>
          <w:sz w:val="32"/>
          <w:szCs w:val="32"/>
          <w:lang w:eastAsia="zh-CN"/>
        </w:rPr>
        <w:t>阿里健康</w:t>
      </w:r>
      <w:r>
        <w:rPr>
          <w:rFonts w:hint="default" w:ascii="Times New Roman" w:hAnsi="Times New Roman" w:eastAsia="仿宋_GB2312" w:cs="Times New Roman"/>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（一）交易方。</w:t>
      </w:r>
    </w:p>
    <w:p>
      <w:pPr>
        <w:pStyle w:val="14"/>
        <w:keepNext w:val="0"/>
        <w:keepLines w:val="0"/>
        <w:pageBreakBefore w:val="0"/>
        <w:widowControl w:val="0"/>
        <w:kinsoku/>
        <w:wordWrap/>
        <w:topLinePunct w:val="0"/>
        <w:bidi w:val="0"/>
        <w:snapToGrid/>
        <w:spacing w:line="594" w:lineRule="exact"/>
        <w:ind w:firstLine="643"/>
        <w:textAlignment w:val="auto"/>
        <w:rPr>
          <w:rFonts w:hint="default" w:ascii="Times New Roman" w:hAnsi="Times New Roman" w:cs="Times New Roman"/>
          <w:bCs/>
        </w:rPr>
      </w:pPr>
      <w:r>
        <w:rPr>
          <w:rFonts w:hint="default" w:ascii="Times New Roman" w:hAnsi="Times New Roman" w:cs="Times New Roman"/>
          <w:b/>
          <w:lang w:eastAsia="zh-CN"/>
        </w:rPr>
        <w:t>收购方</w:t>
      </w:r>
      <w:r>
        <w:rPr>
          <w:rFonts w:hint="default" w:ascii="Times New Roman" w:hAnsi="Times New Roman" w:cs="Times New Roman"/>
          <w:b/>
        </w:rPr>
        <w:t>：</w:t>
      </w:r>
      <w:r>
        <w:rPr>
          <w:rFonts w:hint="default" w:ascii="Times New Roman" w:hAnsi="Times New Roman" w:cs="Times New Roman"/>
          <w:b/>
          <w:lang w:eastAsia="zh-CN"/>
        </w:rPr>
        <w:t>阿里健康</w:t>
      </w:r>
      <w:r>
        <w:rPr>
          <w:rFonts w:hint="default" w:ascii="Times New Roman" w:hAnsi="Times New Roman" w:cs="Times New Roman"/>
        </w:rPr>
        <w:t>。</w:t>
      </w:r>
      <w:r>
        <w:rPr>
          <w:rFonts w:hint="default" w:ascii="Times New Roman" w:hAnsi="Times New Roman" w:cs="Times New Roman"/>
          <w:bCs/>
        </w:rPr>
        <w:t>20</w:t>
      </w:r>
      <w:r>
        <w:rPr>
          <w:rFonts w:hint="default" w:ascii="Times New Roman" w:hAnsi="Times New Roman" w:cs="Times New Roman"/>
          <w:bCs/>
          <w:lang w:val="en-US" w:eastAsia="zh-CN"/>
        </w:rPr>
        <w:t>15</w:t>
      </w:r>
      <w:r>
        <w:rPr>
          <w:rFonts w:hint="default" w:ascii="Times New Roman" w:hAnsi="Times New Roman" w:cs="Times New Roman"/>
          <w:bCs/>
        </w:rPr>
        <w:t>年</w:t>
      </w:r>
      <w:r>
        <w:rPr>
          <w:rFonts w:hint="default" w:ascii="Times New Roman" w:hAnsi="Times New Roman" w:cs="Times New Roman"/>
          <w:bCs/>
          <w:lang w:eastAsia="zh-CN"/>
        </w:rPr>
        <w:t>于</w:t>
      </w:r>
      <w:r>
        <w:rPr>
          <w:rFonts w:hint="default" w:ascii="Times New Roman" w:hAnsi="Times New Roman" w:cs="Times New Roman"/>
          <w:lang w:eastAsia="zh-CN"/>
        </w:rPr>
        <w:t>北京市</w:t>
      </w:r>
      <w:r>
        <w:rPr>
          <w:rFonts w:hint="default" w:ascii="Times New Roman" w:hAnsi="Times New Roman" w:cs="Times New Roman"/>
          <w:bCs/>
        </w:rPr>
        <w:t>注册成立，最终控制人是阿里巴巴集团控股有限公司</w:t>
      </w:r>
      <w:r>
        <w:rPr>
          <w:rFonts w:hint="default" w:ascii="Times New Roman" w:hAnsi="Times New Roman" w:cs="Times New Roman"/>
          <w:bCs/>
          <w:lang w:eastAsia="zh-CN"/>
        </w:rPr>
        <w:t>（以下简称阿里）</w:t>
      </w:r>
      <w:r>
        <w:rPr>
          <w:rFonts w:hint="default" w:ascii="Times New Roman" w:hAnsi="Times New Roman" w:cs="Times New Roman"/>
          <w:bCs/>
        </w:rPr>
        <w:t>。</w:t>
      </w:r>
      <w:r>
        <w:rPr>
          <w:rFonts w:hint="default" w:ascii="Times New Roman" w:hAnsi="Times New Roman" w:eastAsia="仿宋_GB2312" w:cs="Times New Roman"/>
          <w:bCs/>
          <w:sz w:val="32"/>
          <w:szCs w:val="32"/>
          <w:lang w:eastAsia="zh-CN"/>
        </w:rPr>
        <w:t>阿里主营业务包括网络零售平台服务、零售及批发商业、物流服务、生活服务、云计算、数字媒体及娱乐、创新业务等</w:t>
      </w:r>
      <w:r>
        <w:rPr>
          <w:rFonts w:hint="default" w:ascii="Times New Roman" w:hAnsi="Times New Roman" w:eastAsia="仿宋_GB2312" w:cs="Times New Roman"/>
          <w:bCs/>
          <w:sz w:val="32"/>
          <w:szCs w:val="32"/>
        </w:rPr>
        <w:t>。</w:t>
      </w:r>
      <w:r>
        <w:rPr>
          <w:rFonts w:hint="default" w:ascii="Times New Roman" w:hAnsi="Times New Roman" w:cs="Times New Roman"/>
          <w:bCs/>
        </w:rPr>
        <w:t>201</w:t>
      </w:r>
      <w:r>
        <w:rPr>
          <w:rFonts w:hint="default" w:ascii="Times New Roman" w:hAnsi="Times New Roman" w:cs="Times New Roman"/>
          <w:bCs/>
          <w:lang w:val="en-US" w:eastAsia="zh-CN"/>
        </w:rPr>
        <w:t>7</w:t>
      </w:r>
      <w:r>
        <w:rPr>
          <w:rFonts w:hint="default" w:ascii="Times New Roman" w:hAnsi="Times New Roman" w:cs="Times New Roman"/>
          <w:bCs/>
        </w:rPr>
        <w:t>年</w:t>
      </w:r>
      <w:r>
        <w:rPr>
          <w:rFonts w:hint="default" w:ascii="Times New Roman" w:hAnsi="Times New Roman" w:cs="Times New Roman"/>
          <w:bCs/>
          <w:lang w:eastAsia="zh-CN"/>
        </w:rPr>
        <w:t>阿里健康</w:t>
      </w:r>
      <w:r>
        <w:rPr>
          <w:rFonts w:hint="default" w:ascii="Times New Roman" w:hAnsi="Times New Roman" w:cs="Times New Roman"/>
          <w:bCs/>
        </w:rPr>
        <w:t>全球营业额为</w:t>
      </w:r>
      <w:r>
        <w:rPr>
          <w:rFonts w:hint="eastAsia" w:ascii="Times New Roman" w:hAnsi="Times New Roman" w:cs="Times New Roman"/>
          <w:bCs/>
          <w:lang w:val="en-US" w:eastAsia="zh-CN"/>
        </w:rPr>
        <w:t>（略）</w:t>
      </w:r>
      <w:r>
        <w:rPr>
          <w:rFonts w:hint="default" w:ascii="Times New Roman" w:hAnsi="Times New Roman" w:cs="Times New Roman"/>
          <w:bCs/>
        </w:rPr>
        <w:t>人民币（币种下同），中国境内营业额为</w:t>
      </w:r>
      <w:r>
        <w:rPr>
          <w:rFonts w:hint="eastAsia" w:ascii="Times New Roman" w:hAnsi="Times New Roman" w:cs="Times New Roman"/>
          <w:bCs/>
          <w:lang w:val="en-US" w:eastAsia="zh-CN"/>
        </w:rPr>
        <w:t>（略）</w:t>
      </w:r>
      <w:r>
        <w:rPr>
          <w:rFonts w:hint="default" w:ascii="Times New Roman" w:hAnsi="Times New Roman" w:cs="Times New Roman"/>
          <w:bCs/>
        </w:rPr>
        <w:t>。</w:t>
      </w:r>
    </w:p>
    <w:p>
      <w:pPr>
        <w:pStyle w:val="14"/>
        <w:keepNext w:val="0"/>
        <w:keepLines w:val="0"/>
        <w:pageBreakBefore w:val="0"/>
        <w:widowControl w:val="0"/>
        <w:kinsoku/>
        <w:wordWrap/>
        <w:topLinePunct w:val="0"/>
        <w:bidi w:val="0"/>
        <w:snapToGrid/>
        <w:spacing w:line="594" w:lineRule="exact"/>
        <w:ind w:firstLine="643"/>
        <w:textAlignment w:val="auto"/>
        <w:rPr>
          <w:rFonts w:hint="default" w:ascii="Times New Roman" w:hAnsi="Times New Roman" w:cs="Times New Roman"/>
          <w:bCs/>
        </w:rPr>
      </w:pPr>
      <w:r>
        <w:rPr>
          <w:rFonts w:hint="default" w:ascii="Times New Roman" w:hAnsi="Times New Roman" w:cs="Times New Roman"/>
          <w:b/>
          <w:lang w:eastAsia="zh-CN"/>
        </w:rPr>
        <w:t>被收购方</w:t>
      </w:r>
      <w:r>
        <w:rPr>
          <w:rFonts w:hint="default" w:ascii="Times New Roman" w:hAnsi="Times New Roman" w:eastAsia="仿宋_GB2312" w:cs="Times New Roman"/>
          <w:b/>
        </w:rPr>
        <w:t>：</w:t>
      </w:r>
      <w:r>
        <w:rPr>
          <w:rFonts w:hint="default" w:ascii="Times New Roman" w:hAnsi="Times New Roman" w:cs="Times New Roman"/>
          <w:b/>
        </w:rPr>
        <w:t>贵州一树</w:t>
      </w:r>
      <w:r>
        <w:rPr>
          <w:rFonts w:hint="default" w:ascii="Times New Roman" w:hAnsi="Times New Roman" w:cs="Times New Roman"/>
          <w:b w:val="0"/>
          <w:bCs/>
        </w:rPr>
        <w:t>。</w:t>
      </w:r>
      <w:r>
        <w:rPr>
          <w:rFonts w:hint="default" w:ascii="Times New Roman" w:hAnsi="Times New Roman" w:cs="Times New Roman"/>
          <w:bCs/>
        </w:rPr>
        <w:t>1999年</w:t>
      </w:r>
      <w:r>
        <w:rPr>
          <w:rFonts w:hint="default" w:ascii="Times New Roman" w:hAnsi="Times New Roman" w:cs="Times New Roman"/>
          <w:bCs/>
          <w:lang w:eastAsia="zh-CN"/>
        </w:rPr>
        <w:t>于贵州省贵阳市</w:t>
      </w:r>
      <w:r>
        <w:rPr>
          <w:rFonts w:hint="default" w:ascii="Times New Roman" w:hAnsi="Times New Roman" w:cs="Times New Roman"/>
          <w:bCs/>
        </w:rPr>
        <w:t>注册成立，最终控制人是</w:t>
      </w:r>
      <w:r>
        <w:rPr>
          <w:rFonts w:hint="default" w:ascii="Times New Roman" w:hAnsi="Times New Roman" w:cs="Times New Roman"/>
          <w:bCs/>
          <w:lang w:eastAsia="zh-CN"/>
        </w:rPr>
        <w:t>王春雷及其一致行动人。贵州一树</w:t>
      </w:r>
      <w:r>
        <w:rPr>
          <w:rFonts w:hint="default" w:ascii="Times New Roman" w:hAnsi="Times New Roman" w:cs="Times New Roman"/>
          <w:bCs/>
          <w:highlight w:val="none"/>
        </w:rPr>
        <w:t>主要从事药品零售业务</w:t>
      </w:r>
      <w:r>
        <w:rPr>
          <w:rFonts w:hint="default" w:ascii="Times New Roman" w:hAnsi="Times New Roman" w:cs="Times New Roman"/>
          <w:bCs/>
        </w:rPr>
        <w:t>。2017年</w:t>
      </w:r>
      <w:r>
        <w:rPr>
          <w:rFonts w:hint="default" w:ascii="Times New Roman" w:hAnsi="Times New Roman" w:cs="Times New Roman"/>
          <w:bCs/>
          <w:lang w:eastAsia="zh-CN"/>
        </w:rPr>
        <w:t>贵州一树</w:t>
      </w:r>
      <w:r>
        <w:rPr>
          <w:rFonts w:hint="default" w:ascii="Times New Roman" w:hAnsi="Times New Roman" w:cs="Times New Roman"/>
          <w:bCs/>
        </w:rPr>
        <w:t>全球和中国境内营业额均为</w:t>
      </w:r>
      <w:r>
        <w:rPr>
          <w:rFonts w:hint="eastAsia" w:ascii="Times New Roman" w:hAnsi="Times New Roman" w:cs="Times New Roman"/>
          <w:bCs/>
          <w:lang w:val="en-US" w:eastAsia="zh-CN"/>
        </w:rPr>
        <w:t>（略）</w:t>
      </w:r>
      <w:r>
        <w:rPr>
          <w:rFonts w:hint="default" w:ascii="Times New Roman" w:hAnsi="Times New Roman" w:cs="Times New Roman"/>
          <w:bCs/>
        </w:rPr>
        <w:t>。</w:t>
      </w:r>
    </w:p>
    <w:p>
      <w:pPr>
        <w:pStyle w:val="14"/>
        <w:keepNext w:val="0"/>
        <w:keepLines w:val="0"/>
        <w:pageBreakBefore w:val="0"/>
        <w:widowControl w:val="0"/>
        <w:kinsoku/>
        <w:wordWrap/>
        <w:topLinePunct w:val="0"/>
        <w:bidi w:val="0"/>
        <w:snapToGrid/>
        <w:spacing w:line="594" w:lineRule="exact"/>
        <w:ind w:firstLine="643"/>
        <w:textAlignment w:val="auto"/>
        <w:rPr>
          <w:rFonts w:hint="default" w:ascii="Times New Roman" w:hAnsi="Times New Roman" w:cs="Times New Roman"/>
          <w:bCs/>
          <w:sz w:val="32"/>
          <w:szCs w:val="32"/>
        </w:rPr>
      </w:pPr>
      <w:r>
        <w:rPr>
          <w:rFonts w:hint="default" w:ascii="Times New Roman" w:hAnsi="Times New Roman" w:cs="Times New Roman"/>
          <w:b/>
          <w:lang w:eastAsia="zh-CN"/>
        </w:rPr>
        <w:t>存续股东</w:t>
      </w:r>
      <w:r>
        <w:rPr>
          <w:rFonts w:hint="default" w:ascii="Times New Roman" w:hAnsi="Times New Roman" w:cs="Times New Roman"/>
          <w:b/>
        </w:rPr>
        <w:t>：</w:t>
      </w:r>
      <w:r>
        <w:rPr>
          <w:rFonts w:hint="default" w:ascii="Times New Roman" w:hAnsi="Times New Roman" w:cs="Times New Roman"/>
          <w:b/>
          <w:lang w:eastAsia="zh-CN"/>
        </w:rPr>
        <w:t>王春雷及其一致行动人</w:t>
      </w:r>
      <w:r>
        <w:rPr>
          <w:rFonts w:hint="default" w:ascii="Times New Roman" w:hAnsi="Times New Roman" w:cs="Times New Roman"/>
          <w:b w:val="0"/>
          <w:bCs/>
          <w:lang w:eastAsia="zh-CN"/>
        </w:rPr>
        <w:t>（以下简称王春雷）主要从事</w:t>
      </w:r>
      <w:r>
        <w:rPr>
          <w:rFonts w:hint="eastAsia" w:ascii="Times New Roman" w:hAnsi="Times New Roman" w:cs="Times New Roman"/>
          <w:bCs/>
          <w:lang w:val="en-US" w:eastAsia="zh-CN"/>
        </w:rPr>
        <w:t>（略）</w:t>
      </w:r>
      <w:r>
        <w:rPr>
          <w:rFonts w:hint="default" w:ascii="Times New Roman" w:hAnsi="Times New Roman" w:cs="Times New Roman"/>
          <w:b w:val="0"/>
          <w:bCs/>
          <w:lang w:eastAsia="zh-CN"/>
        </w:rPr>
        <w:t>。</w:t>
      </w:r>
      <w:r>
        <w:rPr>
          <w:rFonts w:hint="default" w:ascii="Times New Roman" w:hAnsi="Times New Roman" w:cs="Times New Roman"/>
          <w:b w:val="0"/>
          <w:bCs/>
          <w:highlight w:val="none"/>
          <w:lang w:val="en-US" w:eastAsia="zh-CN"/>
        </w:rPr>
        <w:t>2017</w:t>
      </w:r>
      <w:r>
        <w:rPr>
          <w:rFonts w:hint="default" w:ascii="Times New Roman" w:hAnsi="Times New Roman" w:cs="Times New Roman"/>
          <w:b w:val="0"/>
          <w:bCs/>
          <w:lang w:val="en-US" w:eastAsia="zh-CN"/>
        </w:rPr>
        <w:t>年王春雷全球和中国境内营业额均为</w:t>
      </w:r>
      <w:r>
        <w:rPr>
          <w:rFonts w:hint="eastAsia" w:ascii="Times New Roman" w:hAnsi="Times New Roman" w:cs="Times New Roman"/>
          <w:bCs/>
          <w:lang w:val="en-US" w:eastAsia="zh-CN"/>
        </w:rPr>
        <w:t>（略）</w:t>
      </w:r>
      <w:r>
        <w:rPr>
          <w:rFonts w:hint="default" w:ascii="Times New Roman" w:hAnsi="Times New Roman" w:cs="Times New Roman"/>
          <w:b w:val="0"/>
          <w:bCs/>
          <w:lang w:val="en-US" w:eastAsia="zh-CN"/>
        </w:rPr>
        <w:t>。</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（二）交易概况。</w:t>
      </w:r>
    </w:p>
    <w:p>
      <w:pPr>
        <w:pStyle w:val="14"/>
        <w:keepNext w:val="0"/>
        <w:keepLines w:val="0"/>
        <w:pageBreakBefore w:val="0"/>
        <w:widowControl w:val="0"/>
        <w:kinsoku/>
        <w:wordWrap/>
        <w:topLinePunct w:val="0"/>
        <w:bidi w:val="0"/>
        <w:snapToGrid/>
        <w:spacing w:line="594" w:lineRule="exact"/>
        <w:ind w:firstLine="640"/>
        <w:textAlignment w:val="auto"/>
        <w:rPr>
          <w:rFonts w:hint="default" w:ascii="Times New Roman" w:hAnsi="Times New Roman" w:cs="Times New Roman"/>
          <w:bCs/>
          <w:sz w:val="32"/>
          <w:szCs w:val="32"/>
        </w:rPr>
      </w:pPr>
      <w:r>
        <w:rPr>
          <w:rFonts w:hint="eastAsia" w:ascii="Times New Roman" w:hAnsi="Times New Roman" w:cs="Times New Roman"/>
          <w:sz w:val="32"/>
          <w:szCs w:val="32"/>
          <w:lang w:val="en-US" w:eastAsia="zh-CN"/>
        </w:rPr>
        <w:t>该</w:t>
      </w:r>
      <w:r>
        <w:rPr>
          <w:rFonts w:hint="default" w:ascii="Times New Roman" w:hAnsi="Times New Roman" w:cs="Times New Roman"/>
          <w:sz w:val="32"/>
          <w:szCs w:val="32"/>
          <w:lang w:eastAsia="zh-CN"/>
        </w:rPr>
        <w:t>交易系股权收购。</w:t>
      </w:r>
      <w:r>
        <w:rPr>
          <w:rFonts w:hint="default" w:ascii="Times New Roman" w:hAnsi="Times New Roman" w:eastAsia="仿宋_GB2312" w:cs="Times New Roman"/>
          <w:bCs/>
        </w:rPr>
        <w:t>2018年8月17日，阿里健康、贵州一树等签署《增资协议》《股权转让协议》</w:t>
      </w:r>
      <w:r>
        <w:rPr>
          <w:rFonts w:hint="default" w:ascii="Times New Roman" w:hAnsi="Times New Roman" w:cs="Times New Roman"/>
          <w:bCs/>
          <w:lang w:eastAsia="zh-CN"/>
        </w:rPr>
        <w:t>《股东协议》</w:t>
      </w:r>
      <w:r>
        <w:rPr>
          <w:rFonts w:hint="default" w:ascii="Times New Roman" w:hAnsi="Times New Roman" w:eastAsia="仿宋_GB2312" w:cs="Times New Roman"/>
          <w:bCs/>
        </w:rPr>
        <w:t>，阿里健康取得贵州一树25%股权</w:t>
      </w:r>
      <w:r>
        <w:rPr>
          <w:rFonts w:hint="default" w:ascii="Times New Roman" w:hAnsi="Times New Roman" w:cs="Times New Roman"/>
          <w:bCs/>
          <w:lang w:eastAsia="zh-CN"/>
        </w:rPr>
        <w:t>。</w:t>
      </w:r>
      <w:r>
        <w:rPr>
          <w:rFonts w:hint="default" w:ascii="Times New Roman" w:hAnsi="Times New Roman" w:eastAsia="仿宋_GB2312" w:cs="Times New Roman"/>
          <w:bCs/>
        </w:rPr>
        <w:t>2018年9月29日，</w:t>
      </w:r>
      <w:r>
        <w:rPr>
          <w:rFonts w:hint="default" w:ascii="Times New Roman" w:hAnsi="Times New Roman" w:eastAsia="仿宋_GB2312" w:cs="Times New Roman"/>
          <w:sz w:val="32"/>
          <w:szCs w:val="32"/>
        </w:rPr>
        <w:t>贵州一树</w:t>
      </w:r>
      <w:r>
        <w:rPr>
          <w:rFonts w:hint="default" w:ascii="Times New Roman" w:hAnsi="Times New Roman" w:eastAsia="仿宋_GB2312" w:cs="Times New Roman"/>
          <w:bCs/>
        </w:rPr>
        <w:t>完成股权变更登记。</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（一）本案构成未依法申报违法实施的经营者集中。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反垄断法》第二十条规定“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0" w:name="OLE_LINK48"/>
      <w:r>
        <w:rPr>
          <w:rFonts w:hint="default" w:ascii="Times New Roman" w:hAnsi="Times New Roman" w:eastAsia="仿宋_GB2312" w:cs="Times New Roman"/>
          <w:sz w:val="32"/>
          <w:szCs w:val="32"/>
          <w:lang w:eastAsia="zh-CN"/>
        </w:rPr>
        <w:t>阿里健康收购贵州一树</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lang w:eastAsia="zh-CN"/>
        </w:rPr>
        <w:t>股权，取得共同</w:t>
      </w:r>
      <w:r>
        <w:rPr>
          <w:rFonts w:hint="default" w:ascii="Times New Roman" w:hAnsi="Times New Roman" w:eastAsia="仿宋_GB2312" w:cs="Times New Roman"/>
          <w:sz w:val="32"/>
          <w:szCs w:val="32"/>
        </w:rPr>
        <w:t>控制</w:t>
      </w:r>
      <w:r>
        <w:rPr>
          <w:rFonts w:hint="default" w:ascii="Times New Roman" w:hAnsi="Times New Roman" w:eastAsia="仿宋_GB2312" w:cs="Times New Roman"/>
          <w:sz w:val="32"/>
          <w:szCs w:val="32"/>
          <w:lang w:eastAsia="zh-CN"/>
        </w:rPr>
        <w:t>权</w:t>
      </w:r>
      <w:r>
        <w:rPr>
          <w:rFonts w:hint="default" w:ascii="Times New Roman" w:hAnsi="Times New Roman" w:eastAsia="仿宋_GB2312" w:cs="Times New Roman"/>
          <w:bCs/>
          <w:sz w:val="32"/>
          <w:szCs w:val="32"/>
        </w:rPr>
        <w:t>，属于《反垄断法》第二十条规定的经营者集中。</w:t>
      </w:r>
      <w:bookmarkEnd w:id="0"/>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40" w:firstLineChars="200"/>
        <w:textAlignment w:val="auto"/>
        <w:rPr>
          <w:rFonts w:hint="default" w:ascii="Times New Roman" w:hAnsi="Times New Roman" w:eastAsia="仿宋_GB2312" w:cs="Times New Roman"/>
          <w:bCs/>
          <w:sz w:val="32"/>
          <w:szCs w:val="32"/>
        </w:rPr>
      </w:pPr>
      <w:bookmarkStart w:id="1" w:name="OLE_LINK49"/>
      <w:r>
        <w:rPr>
          <w:rFonts w:hint="default" w:ascii="Times New Roman" w:hAnsi="Times New Roman" w:eastAsia="仿宋_GB2312" w:cs="Times New Roman"/>
          <w:bCs/>
          <w:sz w:val="32"/>
          <w:szCs w:val="32"/>
          <w:lang w:eastAsia="zh-CN"/>
        </w:rPr>
        <w:t>2017年阿里健康全球营业额为</w:t>
      </w:r>
      <w:r>
        <w:rPr>
          <w:rFonts w:hint="eastAsia" w:ascii="Times New Roman" w:hAnsi="Times New Roman" w:eastAsia="仿宋_GB2312" w:cs="Times New Roman"/>
          <w:bCs/>
          <w:sz w:val="32"/>
          <w:szCs w:val="32"/>
          <w:lang w:val="en-US" w:eastAsia="zh-CN"/>
        </w:rPr>
        <w:t>（略）</w:t>
      </w:r>
      <w:r>
        <w:rPr>
          <w:rFonts w:hint="default" w:ascii="Times New Roman" w:hAnsi="Times New Roman" w:eastAsia="仿宋_GB2312" w:cs="Times New Roman"/>
          <w:bCs/>
          <w:sz w:val="32"/>
          <w:szCs w:val="32"/>
          <w:lang w:eastAsia="zh-CN"/>
        </w:rPr>
        <w:t>，中国境内营业额为</w:t>
      </w:r>
      <w:r>
        <w:rPr>
          <w:rFonts w:hint="eastAsia" w:ascii="Times New Roman" w:hAnsi="Times New Roman" w:eastAsia="仿宋_GB2312" w:cs="Times New Roman"/>
          <w:bCs/>
          <w:sz w:val="32"/>
          <w:szCs w:val="32"/>
          <w:lang w:val="en-US" w:eastAsia="zh-CN"/>
        </w:rPr>
        <w:t>（略）</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王春雷</w:t>
      </w:r>
      <w:r>
        <w:rPr>
          <w:rFonts w:hint="default" w:ascii="Times New Roman" w:hAnsi="Times New Roman" w:eastAsia="仿宋_GB2312" w:cs="Times New Roman"/>
          <w:bCs/>
          <w:sz w:val="32"/>
          <w:szCs w:val="32"/>
          <w:lang w:eastAsia="zh-CN"/>
        </w:rPr>
        <w:t>全球和中国境内营业额均为</w:t>
      </w:r>
      <w:r>
        <w:rPr>
          <w:rFonts w:hint="eastAsia" w:ascii="Times New Roman" w:hAnsi="Times New Roman" w:eastAsia="仿宋_GB2312" w:cs="Times New Roman"/>
          <w:bCs/>
          <w:sz w:val="32"/>
          <w:szCs w:val="32"/>
          <w:lang w:val="en-US" w:eastAsia="zh-CN"/>
        </w:rPr>
        <w:t>（略）</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达到《国务院关于经营者集中申报标准的规定》第三条规定的申报标准，属于应当申报的情形。</w:t>
      </w:r>
      <w:bookmarkEnd w:id="1"/>
    </w:p>
    <w:p>
      <w:pPr>
        <w:keepNext w:val="0"/>
        <w:keepLines w:val="0"/>
        <w:pageBreakBefore w:val="0"/>
        <w:widowControl w:val="0"/>
        <w:kinsoku/>
        <w:wordWrap/>
        <w:topLinePunct w:val="0"/>
        <w:bidi w:val="0"/>
        <w:snapToGrid/>
        <w:spacing w:line="594" w:lineRule="exact"/>
        <w:ind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《反垄断法》第二十一条规定“经营者集中达到国务院规定的申报标准的，经营者应当事先向国务院反垄断执法机构申报，未申报的不得实施集中”。2018年9月29日，贵州一树完成股权变更登记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在此之前未</w:t>
      </w:r>
      <w:r>
        <w:rPr>
          <w:rFonts w:hint="default" w:ascii="Times New Roman" w:hAnsi="Times New Roman" w:eastAsia="仿宋_GB2312" w:cs="Times New Roman"/>
          <w:sz w:val="32"/>
          <w:szCs w:val="32"/>
          <w:lang w:eastAsia="zh-CN"/>
        </w:rPr>
        <w:t>依法</w:t>
      </w:r>
      <w:r>
        <w:rPr>
          <w:rFonts w:hint="default" w:ascii="Times New Roman" w:hAnsi="Times New Roman" w:eastAsia="仿宋_GB2312" w:cs="Times New Roman"/>
          <w:sz w:val="32"/>
          <w:szCs w:val="32"/>
        </w:rPr>
        <w:t>申报，违反《反垄断法》第二十一条，构成未依法申报违法实施的经营者集中。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（二）本案不具有排除、限制竞争的效果。</w:t>
      </w:r>
    </w:p>
    <w:p>
      <w:pPr>
        <w:keepNext w:val="0"/>
        <w:keepLines w:val="0"/>
        <w:pageBreakBefore w:val="0"/>
        <w:widowControl w:val="0"/>
        <w:kinsoku/>
        <w:wordWrap/>
        <w:topLinePunct w:val="0"/>
        <w:bidi w:val="0"/>
        <w:snapToGrid/>
        <w:spacing w:line="594" w:lineRule="exact"/>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本机关就</w:t>
      </w:r>
      <w:r>
        <w:rPr>
          <w:rFonts w:hint="default" w:ascii="Times New Roman" w:hAnsi="Times New Roman" w:eastAsia="仿宋_GB2312" w:cs="Times New Roman"/>
          <w:sz w:val="32"/>
          <w:szCs w:val="32"/>
          <w:lang w:eastAsia="zh-CN"/>
        </w:rPr>
        <w:t>阿里健康收购贵州一树股权</w:t>
      </w:r>
      <w:r>
        <w:rPr>
          <w:rFonts w:hint="default" w:ascii="Times New Roman" w:hAnsi="Times New Roman" w:eastAsia="仿宋_GB2312" w:cs="Times New Roman"/>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三、拟作出的行政处罚决定及依据</w:t>
      </w:r>
    </w:p>
    <w:p>
      <w:pPr>
        <w:keepNext w:val="0"/>
        <w:keepLines w:val="0"/>
        <w:pageBreakBefore w:val="0"/>
        <w:widowControl w:val="0"/>
        <w:kinsoku/>
        <w:wordWrap/>
        <w:topLinePunct w:val="0"/>
        <w:bidi w:val="0"/>
        <w:snapToGrid/>
        <w:spacing w:line="594" w:lineRule="exact"/>
        <w:ind w:firstLine="627" w:firstLineChars="196"/>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反垄断法》第四十八条规定“经营者违反本法规定实施集中的，由国务院反垄断执法机构责令停止实施集中、限期处分股份或者资产、限期转让营业以及采取其他必要措施恢复到集中前的状态，可以处五十万元以下的罚款”。《反垄断法》第四十九条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kinsoku/>
        <w:wordWrap/>
        <w:topLinePunct w:val="0"/>
        <w:bidi w:val="0"/>
        <w:snapToGrid/>
        <w:spacing w:line="594" w:lineRule="exact"/>
        <w:ind w:firstLine="627" w:firstLineChars="196"/>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根据上述规定，基于调查情况和评估结论，本机关</w:t>
      </w:r>
      <w:r>
        <w:rPr>
          <w:rFonts w:hint="eastAsia" w:ascii="Times New Roman" w:hAnsi="Times New Roman" w:eastAsia="仿宋_GB2312" w:cs="Times New Roman"/>
          <w:bCs/>
          <w:color w:val="000000"/>
          <w:sz w:val="32"/>
          <w:szCs w:val="32"/>
          <w:lang w:eastAsia="zh-CN"/>
        </w:rPr>
        <w:t>决定</w:t>
      </w:r>
      <w:r>
        <w:rPr>
          <w:rFonts w:hint="default" w:ascii="Times New Roman" w:hAnsi="Times New Roman" w:eastAsia="仿宋_GB2312" w:cs="Times New Roman"/>
          <w:bCs/>
          <w:color w:val="000000"/>
          <w:sz w:val="32"/>
          <w:szCs w:val="32"/>
        </w:rPr>
        <w:t>给予</w:t>
      </w:r>
      <w:r>
        <w:rPr>
          <w:rFonts w:hint="eastAsia" w:ascii="Times New Roman" w:hAnsi="Times New Roman" w:eastAsia="仿宋_GB2312" w:cs="Times New Roman"/>
          <w:bCs/>
          <w:color w:val="000000"/>
          <w:sz w:val="32"/>
          <w:szCs w:val="32"/>
          <w:lang w:eastAsia="zh-CN"/>
        </w:rPr>
        <w:t>阿里健康</w:t>
      </w:r>
      <w:r>
        <w:rPr>
          <w:rFonts w:hint="default" w:ascii="Times New Roman" w:hAnsi="Times New Roman" w:eastAsia="仿宋_GB2312" w:cs="Times New Roman"/>
          <w:bCs/>
          <w:color w:val="000000"/>
          <w:sz w:val="32"/>
          <w:szCs w:val="32"/>
        </w:rPr>
        <w:t>50万元罚款的行政处罚。</w:t>
      </w:r>
    </w:p>
    <w:p>
      <w:pPr>
        <w:keepNext w:val="0"/>
        <w:keepLines w:val="0"/>
        <w:pageBreakBefore w:val="0"/>
        <w:widowControl w:val="0"/>
        <w:kinsoku/>
        <w:wordWrap/>
        <w:topLinePunct w:val="0"/>
        <w:bidi w:val="0"/>
        <w:snapToGrid/>
        <w:spacing w:line="594" w:lineRule="exact"/>
        <w:ind w:firstLine="627" w:firstLineChars="196"/>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keepNext w:val="0"/>
        <w:keepLines w:val="0"/>
        <w:pageBreakBefore w:val="0"/>
        <w:widowControl w:val="0"/>
        <w:kinsoku/>
        <w:wordWrap/>
        <w:topLinePunct w:val="0"/>
        <w:bidi w:val="0"/>
        <w:snapToGrid/>
        <w:spacing w:line="594" w:lineRule="exact"/>
        <w:ind w:firstLine="627" w:firstLineChars="196"/>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当事人应当自收到本行政处罚决定书之日起十五日内，携缴款码到15家中央财政非税收入收缴代理银行（工、农、中、建、交、中信、光大、招商、邮储、华夏、平安、兴业、民生、广发、浙商）任一银行网点、网上银行缴纳罚款。缴款码：</w:t>
      </w:r>
      <w:r>
        <w:rPr>
          <w:rFonts w:hint="eastAsia" w:ascii="Times New Roman" w:hAnsi="Times New Roman" w:eastAsia="仿宋_GB2312" w:cs="Times New Roman"/>
          <w:bCs/>
          <w:color w:val="000000"/>
          <w:kern w:val="2"/>
          <w:sz w:val="32"/>
          <w:szCs w:val="32"/>
          <w:lang w:val="en-US" w:eastAsia="zh-CN"/>
        </w:rPr>
        <w:t>0000002102114949</w:t>
      </w:r>
      <w:r>
        <w:rPr>
          <w:rFonts w:hint="default" w:ascii="Times New Roman" w:hAnsi="Times New Roman" w:eastAsia="仿宋_GB2312" w:cs="Times New Roman"/>
          <w:bCs/>
          <w:color w:val="000000"/>
          <w:kern w:val="2"/>
          <w:sz w:val="32"/>
          <w:szCs w:val="32"/>
        </w:rPr>
        <w:t>。</w:t>
      </w:r>
    </w:p>
    <w:p>
      <w:pPr>
        <w:keepNext w:val="0"/>
        <w:keepLines w:val="0"/>
        <w:pageBreakBefore w:val="0"/>
        <w:widowControl w:val="0"/>
        <w:kinsoku/>
        <w:wordWrap/>
        <w:topLinePunct w:val="0"/>
        <w:bidi w:val="0"/>
        <w:snapToGrid/>
        <w:spacing w:line="594" w:lineRule="exact"/>
        <w:ind w:firstLine="627" w:firstLineChars="196"/>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w:t>
      </w:r>
    </w:p>
    <w:p>
      <w:pPr>
        <w:keepNext w:val="0"/>
        <w:keepLines w:val="0"/>
        <w:pageBreakBefore w:val="0"/>
        <w:widowControl w:val="0"/>
        <w:kinsoku/>
        <w:wordWrap/>
        <w:overflowPunct/>
        <w:topLinePunct w:val="0"/>
        <w:autoSpaceDE/>
        <w:autoSpaceDN/>
        <w:bidi w:val="0"/>
        <w:adjustRightInd/>
        <w:snapToGrid/>
        <w:spacing w:line="594" w:lineRule="exact"/>
        <w:ind w:right="840" w:rightChars="400" w:firstLine="0"/>
        <w:jc w:val="righ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市场监管总局</w:t>
      </w:r>
    </w:p>
    <w:p>
      <w:pPr>
        <w:keepNext w:val="0"/>
        <w:keepLines w:val="0"/>
        <w:pageBreakBefore w:val="0"/>
        <w:widowControl w:val="0"/>
        <w:kinsoku/>
        <w:wordWrap/>
        <w:topLinePunct w:val="0"/>
        <w:bidi w:val="0"/>
        <w:snapToGrid/>
        <w:spacing w:line="594" w:lineRule="exact"/>
        <w:ind w:firstLine="64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2021年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w:t>
      </w:r>
    </w:p>
    <w:p>
      <w:pPr>
        <w:keepNext w:val="0"/>
        <w:keepLines w:val="0"/>
        <w:pageBreakBefore w:val="0"/>
        <w:widowControl w:val="0"/>
        <w:kinsoku/>
        <w:wordWrap/>
        <w:topLinePunct w:val="0"/>
        <w:bidi w:val="0"/>
        <w:snapToGrid/>
        <w:spacing w:line="594" w:lineRule="exact"/>
        <w:ind w:firstLine="640" w:firstLineChars="200"/>
        <w:textAlignment w:val="auto"/>
        <w:rPr>
          <w:rFonts w:hint="default"/>
        </w:rPr>
      </w:pPr>
      <w:r>
        <w:rPr>
          <w:rFonts w:hint="default" w:ascii="Times New Roman" w:hAnsi="Times New Roman" w:eastAsia="仿宋_GB2312" w:cs="Times New Roman"/>
          <w:kern w:val="2"/>
          <w:sz w:val="32"/>
          <w:szCs w:val="32"/>
        </w:rPr>
        <w:t>（此件公开发布）</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25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lang/>
                            </w:rPr>
                            <w:t>1</w:t>
                          </w:r>
                          <w:r>
                            <w:rPr>
                              <w:rFonts w:hint="eastAsia"/>
                            </w:rPr>
                            <w:fldChar w:fldCharType="end"/>
                          </w:r>
                        </w:p>
                      </w:txbxContent>
                    </wps:txbx>
                    <wps:bodyPr wrap="none" lIns="0" tIns="0" rIns="0" bIns="0" upright="0">
                      <a:spAutoFit/>
                    </wps:bodyPr>
                  </wps:wsp>
                </a:graphicData>
              </a:graphic>
            </wp:anchor>
          </w:drawing>
        </mc:Choice>
        <mc:Fallback>
          <w:pict>
            <v:shape id="文本框 225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4SLiwzAEAAJ0DAAAOAAAAAAAAAAEAIAAAAB4BAABkcnMvZTJv&#10;RG9jLnhtbFBLBQYAAAAABgAGAFkBAABcBQ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lang/>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dit="forms"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C0C"/>
    <w:rsid w:val="000073B9"/>
    <w:rsid w:val="00012868"/>
    <w:rsid w:val="000209A5"/>
    <w:rsid w:val="0003166A"/>
    <w:rsid w:val="0005107D"/>
    <w:rsid w:val="000647E4"/>
    <w:rsid w:val="000A7EB0"/>
    <w:rsid w:val="000B0870"/>
    <w:rsid w:val="000B5134"/>
    <w:rsid w:val="000D02B7"/>
    <w:rsid w:val="000F6092"/>
    <w:rsid w:val="0012207C"/>
    <w:rsid w:val="001225D7"/>
    <w:rsid w:val="00132378"/>
    <w:rsid w:val="001327B1"/>
    <w:rsid w:val="00134138"/>
    <w:rsid w:val="001417BC"/>
    <w:rsid w:val="00143E8F"/>
    <w:rsid w:val="00155466"/>
    <w:rsid w:val="00164588"/>
    <w:rsid w:val="001677ED"/>
    <w:rsid w:val="001732A9"/>
    <w:rsid w:val="001819E8"/>
    <w:rsid w:val="00195FF1"/>
    <w:rsid w:val="001A2179"/>
    <w:rsid w:val="001C12EC"/>
    <w:rsid w:val="001C1770"/>
    <w:rsid w:val="001D2124"/>
    <w:rsid w:val="001D6713"/>
    <w:rsid w:val="001F4DC8"/>
    <w:rsid w:val="002077A6"/>
    <w:rsid w:val="002326AE"/>
    <w:rsid w:val="002461DC"/>
    <w:rsid w:val="002530EA"/>
    <w:rsid w:val="00262E3F"/>
    <w:rsid w:val="00273E5D"/>
    <w:rsid w:val="0027432E"/>
    <w:rsid w:val="002A3A2C"/>
    <w:rsid w:val="002A539B"/>
    <w:rsid w:val="002A5EA7"/>
    <w:rsid w:val="002B13A6"/>
    <w:rsid w:val="002B36D2"/>
    <w:rsid w:val="002B3813"/>
    <w:rsid w:val="002E1699"/>
    <w:rsid w:val="002E31D8"/>
    <w:rsid w:val="002F0A88"/>
    <w:rsid w:val="00303517"/>
    <w:rsid w:val="00312608"/>
    <w:rsid w:val="00312ADE"/>
    <w:rsid w:val="0031490B"/>
    <w:rsid w:val="003201D7"/>
    <w:rsid w:val="00336432"/>
    <w:rsid w:val="00347652"/>
    <w:rsid w:val="00354CB9"/>
    <w:rsid w:val="0035785C"/>
    <w:rsid w:val="003A03D3"/>
    <w:rsid w:val="003C2972"/>
    <w:rsid w:val="003F3AD2"/>
    <w:rsid w:val="00412FEF"/>
    <w:rsid w:val="00420FF4"/>
    <w:rsid w:val="004257AE"/>
    <w:rsid w:val="004265BF"/>
    <w:rsid w:val="00447CA4"/>
    <w:rsid w:val="004846E4"/>
    <w:rsid w:val="00494109"/>
    <w:rsid w:val="00497349"/>
    <w:rsid w:val="004B2744"/>
    <w:rsid w:val="004D1281"/>
    <w:rsid w:val="004D7494"/>
    <w:rsid w:val="004F68F7"/>
    <w:rsid w:val="00510A44"/>
    <w:rsid w:val="00513515"/>
    <w:rsid w:val="00514196"/>
    <w:rsid w:val="00514EB6"/>
    <w:rsid w:val="00515C02"/>
    <w:rsid w:val="00545777"/>
    <w:rsid w:val="00567696"/>
    <w:rsid w:val="00575A8C"/>
    <w:rsid w:val="00585B1F"/>
    <w:rsid w:val="005A191C"/>
    <w:rsid w:val="005B59F5"/>
    <w:rsid w:val="005C51CE"/>
    <w:rsid w:val="005D1A3D"/>
    <w:rsid w:val="005E2A61"/>
    <w:rsid w:val="005E7741"/>
    <w:rsid w:val="005F1196"/>
    <w:rsid w:val="005F16DB"/>
    <w:rsid w:val="00613330"/>
    <w:rsid w:val="00621999"/>
    <w:rsid w:val="00624317"/>
    <w:rsid w:val="00634F82"/>
    <w:rsid w:val="00641B5E"/>
    <w:rsid w:val="00643B80"/>
    <w:rsid w:val="006746BC"/>
    <w:rsid w:val="00676684"/>
    <w:rsid w:val="00683EAF"/>
    <w:rsid w:val="006859CB"/>
    <w:rsid w:val="00693A9F"/>
    <w:rsid w:val="006A2FC8"/>
    <w:rsid w:val="006C44BB"/>
    <w:rsid w:val="006D48AD"/>
    <w:rsid w:val="006E1ECD"/>
    <w:rsid w:val="006E764B"/>
    <w:rsid w:val="006E7C26"/>
    <w:rsid w:val="006F6DE9"/>
    <w:rsid w:val="00704A35"/>
    <w:rsid w:val="0071410F"/>
    <w:rsid w:val="00717818"/>
    <w:rsid w:val="0072339A"/>
    <w:rsid w:val="00733C7D"/>
    <w:rsid w:val="00741F66"/>
    <w:rsid w:val="007500A0"/>
    <w:rsid w:val="00755232"/>
    <w:rsid w:val="00760E6B"/>
    <w:rsid w:val="00764A62"/>
    <w:rsid w:val="007A1898"/>
    <w:rsid w:val="007A6313"/>
    <w:rsid w:val="007D2C29"/>
    <w:rsid w:val="008021BF"/>
    <w:rsid w:val="00813581"/>
    <w:rsid w:val="008421BF"/>
    <w:rsid w:val="00846868"/>
    <w:rsid w:val="008558D4"/>
    <w:rsid w:val="00865568"/>
    <w:rsid w:val="008704F1"/>
    <w:rsid w:val="00873886"/>
    <w:rsid w:val="008817A8"/>
    <w:rsid w:val="00886424"/>
    <w:rsid w:val="00896118"/>
    <w:rsid w:val="008A4989"/>
    <w:rsid w:val="008A6C67"/>
    <w:rsid w:val="008B4923"/>
    <w:rsid w:val="008D7382"/>
    <w:rsid w:val="008E1508"/>
    <w:rsid w:val="008F1C64"/>
    <w:rsid w:val="00915B99"/>
    <w:rsid w:val="00951A7E"/>
    <w:rsid w:val="00951A93"/>
    <w:rsid w:val="00974725"/>
    <w:rsid w:val="00982B37"/>
    <w:rsid w:val="00983857"/>
    <w:rsid w:val="00983CBF"/>
    <w:rsid w:val="00990F07"/>
    <w:rsid w:val="009A5D67"/>
    <w:rsid w:val="009E56F8"/>
    <w:rsid w:val="009F0F90"/>
    <w:rsid w:val="009F2B15"/>
    <w:rsid w:val="009F6C34"/>
    <w:rsid w:val="00A12785"/>
    <w:rsid w:val="00A22BD4"/>
    <w:rsid w:val="00A25B32"/>
    <w:rsid w:val="00A71A2A"/>
    <w:rsid w:val="00A8174D"/>
    <w:rsid w:val="00A83120"/>
    <w:rsid w:val="00A9380D"/>
    <w:rsid w:val="00A940F6"/>
    <w:rsid w:val="00AC1EFA"/>
    <w:rsid w:val="00AE2FE7"/>
    <w:rsid w:val="00AF7389"/>
    <w:rsid w:val="00B01D59"/>
    <w:rsid w:val="00B03EF4"/>
    <w:rsid w:val="00B20C0C"/>
    <w:rsid w:val="00B2370B"/>
    <w:rsid w:val="00B2528F"/>
    <w:rsid w:val="00B25965"/>
    <w:rsid w:val="00B3179B"/>
    <w:rsid w:val="00B46989"/>
    <w:rsid w:val="00B471C4"/>
    <w:rsid w:val="00B57008"/>
    <w:rsid w:val="00B57AAE"/>
    <w:rsid w:val="00B662BE"/>
    <w:rsid w:val="00B74F3C"/>
    <w:rsid w:val="00BA0DE9"/>
    <w:rsid w:val="00BA6396"/>
    <w:rsid w:val="00BB312F"/>
    <w:rsid w:val="00BC7C19"/>
    <w:rsid w:val="00BD1C62"/>
    <w:rsid w:val="00BD3884"/>
    <w:rsid w:val="00BE7DB3"/>
    <w:rsid w:val="00BF4AE5"/>
    <w:rsid w:val="00C11894"/>
    <w:rsid w:val="00C14186"/>
    <w:rsid w:val="00C4759D"/>
    <w:rsid w:val="00C5344B"/>
    <w:rsid w:val="00C5555E"/>
    <w:rsid w:val="00C707E1"/>
    <w:rsid w:val="00C8010C"/>
    <w:rsid w:val="00C85C7F"/>
    <w:rsid w:val="00C93B1D"/>
    <w:rsid w:val="00C94CF8"/>
    <w:rsid w:val="00C96A6D"/>
    <w:rsid w:val="00C97113"/>
    <w:rsid w:val="00CC0CEA"/>
    <w:rsid w:val="00CC42B2"/>
    <w:rsid w:val="00CE0B69"/>
    <w:rsid w:val="00CE3FDA"/>
    <w:rsid w:val="00CF509E"/>
    <w:rsid w:val="00D07A84"/>
    <w:rsid w:val="00D116C7"/>
    <w:rsid w:val="00D15B8A"/>
    <w:rsid w:val="00D22BE7"/>
    <w:rsid w:val="00D47F69"/>
    <w:rsid w:val="00D5632F"/>
    <w:rsid w:val="00D72770"/>
    <w:rsid w:val="00D741CA"/>
    <w:rsid w:val="00DC47C6"/>
    <w:rsid w:val="00DE0689"/>
    <w:rsid w:val="00DE06BB"/>
    <w:rsid w:val="00DE3C06"/>
    <w:rsid w:val="00E62D54"/>
    <w:rsid w:val="00E84557"/>
    <w:rsid w:val="00E84BF1"/>
    <w:rsid w:val="00E91793"/>
    <w:rsid w:val="00E97449"/>
    <w:rsid w:val="00EA1051"/>
    <w:rsid w:val="00EB3A4B"/>
    <w:rsid w:val="00ED2618"/>
    <w:rsid w:val="00EE1034"/>
    <w:rsid w:val="00EF51BA"/>
    <w:rsid w:val="00EF755A"/>
    <w:rsid w:val="00F00E53"/>
    <w:rsid w:val="00F037ED"/>
    <w:rsid w:val="00F34840"/>
    <w:rsid w:val="00F36735"/>
    <w:rsid w:val="00F418C4"/>
    <w:rsid w:val="00F41D23"/>
    <w:rsid w:val="00F47FD5"/>
    <w:rsid w:val="00F832FC"/>
    <w:rsid w:val="00F91C5A"/>
    <w:rsid w:val="00FA2B45"/>
    <w:rsid w:val="00FA3F61"/>
    <w:rsid w:val="00FD4CB1"/>
    <w:rsid w:val="00FE6BBC"/>
    <w:rsid w:val="00FE6E91"/>
    <w:rsid w:val="00FF2461"/>
    <w:rsid w:val="00FF247D"/>
    <w:rsid w:val="00FF3787"/>
    <w:rsid w:val="012D5403"/>
    <w:rsid w:val="03874E1E"/>
    <w:rsid w:val="039E50A5"/>
    <w:rsid w:val="04710E9B"/>
    <w:rsid w:val="057F4A99"/>
    <w:rsid w:val="05EC04C6"/>
    <w:rsid w:val="07635456"/>
    <w:rsid w:val="09976D0C"/>
    <w:rsid w:val="0AAC3217"/>
    <w:rsid w:val="0B6753F7"/>
    <w:rsid w:val="0C1667C0"/>
    <w:rsid w:val="0C9E128A"/>
    <w:rsid w:val="0CED3A92"/>
    <w:rsid w:val="0D9A3CF2"/>
    <w:rsid w:val="0D9F00E3"/>
    <w:rsid w:val="0F864CDA"/>
    <w:rsid w:val="102C624D"/>
    <w:rsid w:val="10F073FF"/>
    <w:rsid w:val="12D332A0"/>
    <w:rsid w:val="162406D3"/>
    <w:rsid w:val="17B60510"/>
    <w:rsid w:val="18DC4B0C"/>
    <w:rsid w:val="1B514D72"/>
    <w:rsid w:val="1B7B5C69"/>
    <w:rsid w:val="1B9C1E7C"/>
    <w:rsid w:val="1D5E493F"/>
    <w:rsid w:val="1DBD7C3A"/>
    <w:rsid w:val="209D6B08"/>
    <w:rsid w:val="20D42AE6"/>
    <w:rsid w:val="22A535B0"/>
    <w:rsid w:val="23010EEB"/>
    <w:rsid w:val="2467287F"/>
    <w:rsid w:val="25835D2F"/>
    <w:rsid w:val="265E4A2A"/>
    <w:rsid w:val="27843DD5"/>
    <w:rsid w:val="278D5F03"/>
    <w:rsid w:val="28D94F59"/>
    <w:rsid w:val="2AF76152"/>
    <w:rsid w:val="2F72059A"/>
    <w:rsid w:val="2FA90555"/>
    <w:rsid w:val="30106EF4"/>
    <w:rsid w:val="30121F86"/>
    <w:rsid w:val="354264D4"/>
    <w:rsid w:val="35871545"/>
    <w:rsid w:val="3664151B"/>
    <w:rsid w:val="36A21023"/>
    <w:rsid w:val="36DB70FE"/>
    <w:rsid w:val="39BF0326"/>
    <w:rsid w:val="39F458D5"/>
    <w:rsid w:val="3A145027"/>
    <w:rsid w:val="3A176F87"/>
    <w:rsid w:val="3BF151ED"/>
    <w:rsid w:val="3CE71F92"/>
    <w:rsid w:val="3FC61702"/>
    <w:rsid w:val="3FD636D5"/>
    <w:rsid w:val="40432051"/>
    <w:rsid w:val="40B2096A"/>
    <w:rsid w:val="41313420"/>
    <w:rsid w:val="419F54F2"/>
    <w:rsid w:val="432B7BAC"/>
    <w:rsid w:val="44531183"/>
    <w:rsid w:val="44AA61DB"/>
    <w:rsid w:val="46D754DB"/>
    <w:rsid w:val="484268A0"/>
    <w:rsid w:val="49556857"/>
    <w:rsid w:val="49FE60F3"/>
    <w:rsid w:val="4ACC368A"/>
    <w:rsid w:val="4B677BF0"/>
    <w:rsid w:val="4CD76F79"/>
    <w:rsid w:val="4D19468D"/>
    <w:rsid w:val="4DBFF3A2"/>
    <w:rsid w:val="4E226115"/>
    <w:rsid w:val="4FF275F4"/>
    <w:rsid w:val="534963B9"/>
    <w:rsid w:val="54356A67"/>
    <w:rsid w:val="546F323D"/>
    <w:rsid w:val="5526148C"/>
    <w:rsid w:val="56985D6B"/>
    <w:rsid w:val="56CE2E2B"/>
    <w:rsid w:val="58D96A94"/>
    <w:rsid w:val="58E70FA8"/>
    <w:rsid w:val="59475FE1"/>
    <w:rsid w:val="5A154624"/>
    <w:rsid w:val="5B0428E9"/>
    <w:rsid w:val="5B3B4B0F"/>
    <w:rsid w:val="5BDF5067"/>
    <w:rsid w:val="5BF17393"/>
    <w:rsid w:val="5F3E130C"/>
    <w:rsid w:val="5FF756A6"/>
    <w:rsid w:val="60F10E6A"/>
    <w:rsid w:val="6160374D"/>
    <w:rsid w:val="62AE3071"/>
    <w:rsid w:val="63A83B6B"/>
    <w:rsid w:val="65045474"/>
    <w:rsid w:val="659352C2"/>
    <w:rsid w:val="65DB4174"/>
    <w:rsid w:val="65E171C3"/>
    <w:rsid w:val="66B150E5"/>
    <w:rsid w:val="689625B2"/>
    <w:rsid w:val="6963108B"/>
    <w:rsid w:val="69B61531"/>
    <w:rsid w:val="6A300E84"/>
    <w:rsid w:val="6D7A31DA"/>
    <w:rsid w:val="6DF37F1F"/>
    <w:rsid w:val="6F09650B"/>
    <w:rsid w:val="6F0C53D4"/>
    <w:rsid w:val="6FCF8D05"/>
    <w:rsid w:val="6FFFE045"/>
    <w:rsid w:val="70BE133D"/>
    <w:rsid w:val="77FE143F"/>
    <w:rsid w:val="787B165E"/>
    <w:rsid w:val="79432195"/>
    <w:rsid w:val="79FEC344"/>
    <w:rsid w:val="7B006C63"/>
    <w:rsid w:val="7C911BC6"/>
    <w:rsid w:val="7CC91C1E"/>
    <w:rsid w:val="7DA357E0"/>
    <w:rsid w:val="7EDB39F1"/>
    <w:rsid w:val="7FFEB020"/>
    <w:rsid w:val="9BD1BF4A"/>
    <w:rsid w:val="9FBFD47E"/>
    <w:rsid w:val="D2FF0F2A"/>
    <w:rsid w:val="DFFE0E4A"/>
    <w:rsid w:val="EFBF13E4"/>
    <w:rsid w:val="EFDF1549"/>
    <w:rsid w:val="F6F6FBA0"/>
    <w:rsid w:val="F9731760"/>
    <w:rsid w:val="FBDF72E7"/>
    <w:rsid w:val="FBFD3C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1"/>
    <w:basedOn w:val="1"/>
    <w:next w:val="1"/>
    <w:link w:val="10"/>
    <w:qFormat/>
    <w:uiPriority w:val="0"/>
    <w:pPr>
      <w:spacing w:after="156" w:afterLines="50" w:line="640" w:lineRule="exact"/>
      <w:jc w:val="center"/>
      <w:outlineLvl w:val="0"/>
    </w:pPr>
    <w:rPr>
      <w:rFonts w:ascii="方正小标宋简体" w:hAnsi="Times New Roman" w:eastAsia="方正小标宋简体"/>
      <w:kern w:val="0"/>
      <w:sz w:val="44"/>
      <w:szCs w:val="36"/>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4">
    <w:name w:val="Body Text"/>
    <w:basedOn w:val="1"/>
    <w:unhideWhenUsed/>
    <w:qFormat/>
    <w:uiPriority w:val="0"/>
    <w:pPr>
      <w:spacing w:after="120"/>
    </w:pPr>
    <w:rPr>
      <w:rFonts w:ascii="Calibri" w:hAnsi="Calibri" w:eastAsia="宋体" w:cs="Times New Roman"/>
      <w:szCs w:val="22"/>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标题 1 Char"/>
    <w:basedOn w:val="8"/>
    <w:link w:val="3"/>
    <w:uiPriority w:val="0"/>
    <w:rPr>
      <w:rFonts w:ascii="方正小标宋简体" w:hAnsi="Times New Roman" w:eastAsia="方正小标宋简体"/>
      <w:sz w:val="44"/>
      <w:szCs w:val="36"/>
    </w:rPr>
  </w:style>
  <w:style w:type="character" w:customStyle="1" w:styleId="11">
    <w:name w:val="页脚 Char"/>
    <w:basedOn w:val="8"/>
    <w:link w:val="5"/>
    <w:semiHidden/>
    <w:uiPriority w:val="99"/>
    <w:rPr>
      <w:sz w:val="18"/>
      <w:szCs w:val="18"/>
    </w:rPr>
  </w:style>
  <w:style w:type="character" w:customStyle="1" w:styleId="12">
    <w:name w:val="页眉 Char"/>
    <w:basedOn w:val="8"/>
    <w:link w:val="6"/>
    <w:semiHidden/>
    <w:uiPriority w:val="99"/>
    <w:rPr>
      <w:sz w:val="18"/>
      <w:szCs w:val="18"/>
    </w:rPr>
  </w:style>
  <w:style w:type="character" w:customStyle="1" w:styleId="13">
    <w:name w:val="内容 Char"/>
    <w:basedOn w:val="8"/>
    <w:link w:val="14"/>
    <w:uiPriority w:val="0"/>
    <w:rPr>
      <w:rFonts w:ascii="仿宋_GB2312" w:hAnsi="仿宋_GB2312" w:eastAsia="仿宋_GB2312"/>
      <w:kern w:val="2"/>
      <w:sz w:val="32"/>
      <w:szCs w:val="32"/>
    </w:rPr>
  </w:style>
  <w:style w:type="paragraph" w:customStyle="1" w:styleId="14">
    <w:name w:val="内容"/>
    <w:basedOn w:val="1"/>
    <w:link w:val="13"/>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 w:type="paragraph" w:customStyle="1" w:styleId="15">
    <w:name w:val="Default"/>
    <w:qFormat/>
    <w:uiPriority w:val="0"/>
    <w:pPr>
      <w:widowControl w:val="0"/>
      <w:autoSpaceDE w:val="0"/>
      <w:autoSpaceDN w:val="0"/>
      <w:adjustRightInd w:val="0"/>
    </w:pPr>
    <w:rPr>
      <w:rFonts w:ascii="楷体_GB2312" w:eastAsia="楷体_GB2312" w:cs="楷体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301</Words>
  <Characters>1718</Characters>
  <Lines>14</Lines>
  <Paragraphs>4</Paragraphs>
  <TotalTime>0</TotalTime>
  <ScaleCrop>false</ScaleCrop>
  <LinksUpToDate>false</LinksUpToDate>
  <CharactersWithSpaces>2015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2019-12-18T18:45:00Z</dcterms:created>
  <dc:creator>赵莉莉</dc:creator>
  <cp:lastModifiedBy>网站服务岗</cp:lastModifiedBy>
  <cp:lastPrinted>2021-11-19T02:05:43Z</cp:lastPrinted>
  <dcterms:modified xsi:type="dcterms:W3CDTF">2021-11-19T08:40:17Z</dcterms:modified>
  <dc:title>国家市场监督管理总局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