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auto"/>
          <w:kern w:val="2"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color w:val="auto"/>
          <w:spacing w:val="30"/>
          <w:kern w:val="0"/>
          <w:sz w:val="52"/>
          <w:szCs w:val="52"/>
          <w:fitText w:val="5742" w:id="808917453"/>
        </w:rPr>
        <w:t>国家市场监督管理总</w:t>
      </w:r>
      <w:r>
        <w:rPr>
          <w:rFonts w:hint="default" w:ascii="Times New Roman" w:hAnsi="Times New Roman" w:eastAsia="黑体" w:cs="Times New Roman"/>
          <w:bCs/>
          <w:color w:val="auto"/>
          <w:spacing w:val="1"/>
          <w:kern w:val="0"/>
          <w:sz w:val="52"/>
          <w:szCs w:val="52"/>
          <w:fitText w:val="5742" w:id="808917453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olor w:val="auto"/>
          <w:spacing w:val="175"/>
          <w:kern w:val="0"/>
          <w:sz w:val="52"/>
          <w:szCs w:val="52"/>
          <w:fitText w:val="5742" w:id="1"/>
        </w:rPr>
        <w:t>行政处罚决定</w:t>
      </w:r>
      <w:r>
        <w:rPr>
          <w:rFonts w:hint="default" w:ascii="Times New Roman" w:hAnsi="Times New Roman" w:eastAsia="黑体" w:cs="Times New Roman"/>
          <w:bCs/>
          <w:color w:val="auto"/>
          <w:spacing w:val="1"/>
          <w:kern w:val="0"/>
          <w:sz w:val="52"/>
          <w:szCs w:val="52"/>
          <w:fitText w:val="5742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国市监处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/>
        </w:rPr>
        <w:t>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〕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/>
        </w:rPr>
        <w:t>102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当事人：</w:t>
      </w:r>
      <w:r>
        <w:rPr>
          <w:rFonts w:hint="eastAsia" w:eastAsia="仿宋_GB2312" w:cs="Times New Roman"/>
          <w:color w:val="auto"/>
          <w:sz w:val="32"/>
          <w:lang w:val="en-US" w:eastAsia="zh-CN"/>
        </w:rPr>
        <w:t>阿里巴巴投资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有限公司</w:t>
      </w:r>
      <w:r>
        <w:rPr>
          <w:rFonts w:hint="eastAsia" w:eastAsia="仿宋_GB2312" w:cs="Times New Roman"/>
          <w:color w:val="auto"/>
          <w:sz w:val="32"/>
          <w:lang w:val="en-US" w:eastAsia="zh-CN"/>
        </w:rPr>
        <w:t>（Alibaba Investment Limited）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住  所：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英属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维尔京群岛托尔托拉岛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Trident大厦146号邮箱（Trident Chambers,P.O.Box146,Road Town ,Tortola, British Virgin Ialands)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根据《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反垄断法》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（以下简称《反垄断法》）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《经营者集中审查暂行规定》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，本机关于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2021年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4月12日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对</w:t>
      </w:r>
      <w:r>
        <w:rPr>
          <w:rFonts w:hint="eastAsia" w:eastAsia="仿宋_GB2312" w:cs="Times New Roman"/>
          <w:color w:val="auto"/>
          <w:sz w:val="32"/>
          <w:lang w:val="en-US" w:eastAsia="zh-CN"/>
        </w:rPr>
        <w:t>阿里巴巴投资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有限公司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6"/>
          <w:lang w:val="en-US" w:eastAsia="zh-CN"/>
        </w:rPr>
        <w:t>（</w:t>
      </w:r>
      <w:r>
        <w:rPr>
          <w:rFonts w:hint="eastAsia" w:eastAsia="仿宋_GB2312" w:cs="Times New Roman"/>
          <w:color w:val="auto"/>
          <w:sz w:val="32"/>
          <w:lang w:val="en-US" w:eastAsia="zh-CN"/>
        </w:rPr>
        <w:t>Alibaba Investment Limited，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6"/>
          <w:lang w:val="en-US" w:eastAsia="zh-CN"/>
        </w:rPr>
        <w:t>以下简称阿里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6"/>
          <w:lang w:val="en-US" w:eastAsia="zh-CN"/>
        </w:rPr>
        <w:t>投资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6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收购高德软件控股有限公司（以下简称高德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）股权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涉嫌</w:t>
      </w:r>
      <w:r>
        <w:rPr>
          <w:rFonts w:hint="eastAsia" w:eastAsia="仿宋_GB2312" w:cs="Times New Roman"/>
          <w:color w:val="auto"/>
          <w:sz w:val="32"/>
          <w:lang w:val="en-US" w:eastAsia="zh-CN"/>
        </w:rPr>
        <w:t>未依法申报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违法实施经营者集中案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进行立案调查。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bidi w:val="0"/>
        <w:adjustRightInd w:val="0"/>
        <w:snapToGrid/>
        <w:spacing w:before="0" w:beforeAutospacing="0" w:after="0" w:afterAutospacing="0" w:line="594" w:lineRule="exact"/>
        <w:ind w:left="0" w:right="0" w:firstLine="628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经查，该案构成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未依法申报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违法实施经营者集中，但不具有排除、限制竞争的效果。本机关按照《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行政处罚法》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（以下简称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《行政处罚法》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的规定，向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阿里投资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送达了《行政处罚告知书》，告知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拟作出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行政处罚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内容及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事实、理由、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依据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并告知当事人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依法享有的陈述、申辩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要求听证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权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利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阿里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"/>
        </w:rPr>
        <w:t>投资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在规定期限内没有提出陈述、申辩意见或要求举行听证。本案现已调查、审理终结。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  <w:t>（一）交易方。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收购方：阿里投资。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2000年于英属维</w:t>
      </w:r>
      <w:r>
        <w:rPr>
          <w:rFonts w:hint="eastAsia" w:eastAsia="仿宋_GB2312" w:cs="Times New Roman"/>
          <w:bCs/>
          <w:color w:val="auto"/>
          <w:sz w:val="32"/>
          <w:szCs w:val="32"/>
          <w:lang w:eastAsia="zh-CN"/>
        </w:rPr>
        <w:t>尔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京群岛注册成立，最终控制人是阿里巴巴集团控股有限公司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(Alibaba Group Holding Limited，以下简称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阿里巴巴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eastAsia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主营业务包括网络零售平台服务、零售及批发商业、物流服务、生活服务、云计算、数字媒体及娱乐、创新业务等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2013年度全球营业额为</w:t>
      </w:r>
      <w:r>
        <w:rPr>
          <w:rFonts w:hint="eastAsia" w:ascii="仿宋_GB2312" w:hAnsi="仿宋_GB2312" w:eastAsia="仿宋_GB2312" w:cs="仿宋_GB2312"/>
          <w:bCs/>
          <w:sz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人民币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（币种下同）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，中国境内营业额为</w:t>
      </w:r>
      <w:r>
        <w:rPr>
          <w:rFonts w:hint="eastAsia" w:ascii="仿宋_GB2312" w:hAnsi="仿宋_GB2312" w:eastAsia="仿宋_GB2312" w:cs="仿宋_GB2312"/>
          <w:bCs/>
          <w:sz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after="0" w:line="594" w:lineRule="exact"/>
        <w:ind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被收购方：高德。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2006年6月2日于开曼群岛注册成立，2010年7月1日在美国纳斯达克证券交易所上市，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交易前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股东相对分散，无最终控制人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主要在中国从事电子地图业务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2013年全球和中国境内营业额均为</w:t>
      </w:r>
      <w:r>
        <w:rPr>
          <w:rFonts w:hint="eastAsia" w:ascii="仿宋_GB2312" w:hAnsi="仿宋_GB2312" w:eastAsia="仿宋_GB2312" w:cs="仿宋_GB2312"/>
          <w:bCs/>
          <w:sz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  <w:t>（二）交易概况。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1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6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交易系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股权收购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6"/>
        </w:rPr>
        <w:t>2014年4月11日，阿里投资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6"/>
          <w:lang w:eastAsia="zh-CN"/>
        </w:rPr>
        <w:t>与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6"/>
        </w:rPr>
        <w:t>其全资子公司Ali ET Investment Holding Limited和高德签署《合并协议》，</w:t>
      </w:r>
      <w:r>
        <w:rPr>
          <w:rFonts w:hint="eastAsia" w:ascii="Times New Roman" w:hAnsi="Times New Roman" w:cs="Times New Roman"/>
          <w:bCs/>
          <w:color w:val="auto"/>
          <w:sz w:val="32"/>
          <w:szCs w:val="36"/>
          <w:lang w:eastAsia="zh-CN"/>
        </w:rPr>
        <w:t>以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70.37亿元</w:t>
      </w:r>
      <w:r>
        <w:rPr>
          <w:rFonts w:hint="eastAsia" w:ascii="Times New Roman" w:hAnsi="Times New Roman" w:cs="Times New Roman"/>
          <w:bCs/>
          <w:color w:val="auto"/>
          <w:sz w:val="32"/>
          <w:szCs w:val="36"/>
          <w:lang w:eastAsia="zh-CN"/>
        </w:rPr>
        <w:t>收购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6"/>
        </w:rPr>
        <w:t>高德100%股权</w:t>
      </w:r>
      <w:r>
        <w:rPr>
          <w:rFonts w:hint="eastAsia" w:ascii="Times New Roman" w:hAnsi="Times New Roman" w:cs="Times New Roman"/>
          <w:bCs/>
          <w:color w:val="auto"/>
          <w:sz w:val="32"/>
          <w:szCs w:val="36"/>
          <w:lang w:eastAsia="zh-CN"/>
        </w:rPr>
        <w:t>，并取得单独控制权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6"/>
        </w:rPr>
        <w:t>。2014年7月17日，高德完成股权变更登记手续</w:t>
      </w:r>
      <w:r>
        <w:rPr>
          <w:rFonts w:hint="eastAsia" w:ascii="Times New Roman" w:hAnsi="Times New Roman" w:cs="Times New Roman"/>
          <w:bCs/>
          <w:color w:val="auto"/>
          <w:sz w:val="32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二、违法事实及理由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  <w:t>（一）本案构成</w:t>
      </w:r>
      <w:r>
        <w:rPr>
          <w:rFonts w:hint="eastAsia" w:eastAsia="楷体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未依法申报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  <w:t>违法实施的经营者集中。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《反垄断法》第二十条规定“经营者集中是指下列情形：（一）经营者合并；（二）经营者通过取得股权或者资产的方式取得对其他经营者的控制权；（三）经营者通过合同等方式取得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对其他经营者的控制权或者能够对其他经营者施加决定性影响”。该交易系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股权收购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阿里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投资收购高德100%股权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并取得单独控制权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6"/>
          <w:lang w:eastAsia="zh-CN"/>
        </w:rPr>
        <w:t>属于《反垄断法》第二十条规定的经营者集中。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pacing w:line="594" w:lineRule="exact"/>
        <w:ind w:left="0" w:firstLine="64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2013年度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阿里投资全球营业额为</w:t>
      </w:r>
      <w:r>
        <w:rPr>
          <w:rFonts w:hint="eastAsia" w:ascii="仿宋_GB2312" w:hAnsi="仿宋_GB2312" w:eastAsia="仿宋_GB2312" w:cs="仿宋_GB2312"/>
          <w:bCs/>
          <w:sz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，中国境内营业额为</w:t>
      </w:r>
      <w:r>
        <w:rPr>
          <w:rFonts w:hint="eastAsia" w:ascii="仿宋_GB2312" w:hAnsi="仿宋_GB2312" w:eastAsia="仿宋_GB2312" w:cs="仿宋_GB2312"/>
          <w:bCs/>
          <w:sz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6"/>
        </w:rPr>
        <w:t>2013年度高德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全球和中国境内营业额均为</w:t>
      </w:r>
      <w:r>
        <w:rPr>
          <w:rFonts w:hint="eastAsia" w:ascii="仿宋_GB2312" w:hAnsi="仿宋_GB2312" w:eastAsia="仿宋_GB2312" w:cs="仿宋_GB2312"/>
          <w:bCs/>
          <w:sz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6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达到《国务院关于经营者集中申报标准的规定》第三条规定的申报标准，属于应当申报的情形。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28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《反垄断法》第二十一条规定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营者集中达到国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务院规定的申报标准的，经营者应当事先向国务院反垄断执法机构申报，未申报的不得实施集中”。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6"/>
        </w:rPr>
        <w:t>2014年7月17日，高德完成股权变更登记手续，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在此之前未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依法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申报，违反《反垄断法》第二十一条，构成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未依法申报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违法实施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  <w:t>（二）本案不具有排除、限制竞争的效果。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本机关就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阿里投资收购高德股权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对市场竞争的影响进行了评估，评估认为，该项经营者集中不会产生排除、限制竞争的效果。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三、行政处罚依据和决定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16" w:firstLineChars="196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《反垄断法》第四十八条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规定“经营者违反本法规定实施集中的，由国务院反垄断执法机构责令停止实施集中、限期处分股份或者资产、限期转让营业以及采取其他必要措施恢复到集中前的状态，可以处五十万元以下的罚款”。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《反垄断法》第四十九条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规定“对本法第四十六条、第四十七条、第四十八条规定的罚款，反垄断执法机构确定具体罚款数额时，应当考虑违法行为的性质、程度和持续的时间等因素”。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上述规定，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基于调查情况和评估结论，本机关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决定给予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阿里投资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0万元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罚款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的行政处罚。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《行政处罚法》第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六十七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条规定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“作出罚款决定的行政机关应当与收缴罚款的机构分离。除依照本法第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六十八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条、第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六十九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条的规定当场收缴的罚款外，作出行政处罚决定的行政机关及其执法人员不得自行收缴罚款。当事人应当自收到行政处罚决定书之日起十五日内，到指定的银行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或者通过电子支付系统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缴纳罚款。银行应当收受罚款，并将罚款直接上缴国库”。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应当自收到本行政处罚决定书之日起十五日内，携缴款码到1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家中央财政非税收入收缴代理银行（工、农、中、建、交、中信、光大、招商、邮储、华夏、平安、兴业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、民生、广发、浙商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）任一银行网点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网上银行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缴纳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罚款。缴款码：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000000210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/>
        </w:rPr>
        <w:t>2114690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 xml:space="preserve">如对上述行政处罚决定不服，可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 </w:t>
      </w:r>
    </w:p>
    <w:p>
      <w:pPr>
        <w:pStyle w:val="2"/>
        <w:rPr>
          <w:rFonts w:hint="default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5433" w:firstLineChars="173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市场监管总局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5225" w:firstLineChars="1664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（此件公开发布）</w:t>
      </w:r>
    </w:p>
    <w:sectPr>
      <w:footerReference r:id="rId3" w:type="default"/>
      <w:footerReference r:id="rId4" w:type="even"/>
      <w:pgSz w:w="11906" w:h="16838"/>
      <w:pgMar w:top="1440" w:right="1803" w:bottom="1440" w:left="1803" w:header="851" w:footer="1814" w:gutter="0"/>
      <w:cols w:space="0" w:num="1"/>
      <w:rtlGutter w:val="0"/>
      <w:docGrid w:type="linesAndChars" w:linePitch="290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570B1"/>
    <w:rsid w:val="0023200C"/>
    <w:rsid w:val="05D15580"/>
    <w:rsid w:val="075F674C"/>
    <w:rsid w:val="09AC08F5"/>
    <w:rsid w:val="13F85EFD"/>
    <w:rsid w:val="16657401"/>
    <w:rsid w:val="169767E4"/>
    <w:rsid w:val="173B2FCB"/>
    <w:rsid w:val="18DB1E51"/>
    <w:rsid w:val="192053EE"/>
    <w:rsid w:val="1A156921"/>
    <w:rsid w:val="1B095395"/>
    <w:rsid w:val="1C11264C"/>
    <w:rsid w:val="1D3570B1"/>
    <w:rsid w:val="1ED67F29"/>
    <w:rsid w:val="1F573D93"/>
    <w:rsid w:val="21623065"/>
    <w:rsid w:val="21A54411"/>
    <w:rsid w:val="239A0124"/>
    <w:rsid w:val="265326DA"/>
    <w:rsid w:val="28C8606C"/>
    <w:rsid w:val="29171A1E"/>
    <w:rsid w:val="2A7A6DC6"/>
    <w:rsid w:val="2B0F6D0F"/>
    <w:rsid w:val="31E778A8"/>
    <w:rsid w:val="33046E23"/>
    <w:rsid w:val="33B94AAA"/>
    <w:rsid w:val="33E16394"/>
    <w:rsid w:val="38043EF0"/>
    <w:rsid w:val="38DE21F1"/>
    <w:rsid w:val="39E75B24"/>
    <w:rsid w:val="3D086E74"/>
    <w:rsid w:val="3FAD2E94"/>
    <w:rsid w:val="4297136E"/>
    <w:rsid w:val="44F1186A"/>
    <w:rsid w:val="48A63464"/>
    <w:rsid w:val="49513DE5"/>
    <w:rsid w:val="49F75885"/>
    <w:rsid w:val="4ABC40B8"/>
    <w:rsid w:val="4EF957B9"/>
    <w:rsid w:val="4EFD73AF"/>
    <w:rsid w:val="51075873"/>
    <w:rsid w:val="52A77C54"/>
    <w:rsid w:val="5A3853F1"/>
    <w:rsid w:val="5B1D24D8"/>
    <w:rsid w:val="5BDD2331"/>
    <w:rsid w:val="5C686AC3"/>
    <w:rsid w:val="5D4E6DD5"/>
    <w:rsid w:val="630535E1"/>
    <w:rsid w:val="63432760"/>
    <w:rsid w:val="640E6FE8"/>
    <w:rsid w:val="68197930"/>
    <w:rsid w:val="686D740E"/>
    <w:rsid w:val="6A564164"/>
    <w:rsid w:val="6F712D0C"/>
    <w:rsid w:val="7073388E"/>
    <w:rsid w:val="71CF2515"/>
    <w:rsid w:val="74782380"/>
    <w:rsid w:val="799C3559"/>
    <w:rsid w:val="7A782B89"/>
    <w:rsid w:val="7D641176"/>
    <w:rsid w:val="FBEF8F78"/>
    <w:rsid w:val="FE9C8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内容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360" w:lineRule="auto"/>
      <w:ind w:firstLine="20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2020-12-10T18:26:00Z</dcterms:created>
  <dc:creator>徐霄飞</dc:creator>
  <cp:lastModifiedBy>greatwall</cp:lastModifiedBy>
  <cp:lastPrinted>2021-07-02T22:21:00Z</cp:lastPrinted>
  <dcterms:modified xsi:type="dcterms:W3CDTF">2021-11-19T14:24:40Z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